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тариф на оказание услуги по передаче электрической энергии МУП "Районные электрические сети" Хабаровского муниципального района Хабаровского края на 2022 год учтены и включены: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Плановые выпадающие доходы на 2022 год, связанные с осуществлением ТП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максимальной мощностью до 15 кВт по мероприятиям "последней мили" и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расходы на обеспечение средствами коммерческого учета электрической энергии (мощности), связанные с осуществлением ТП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устройств максимальной мощностью, не превышающей 15 кВт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2 484,00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</w:t>
      </w:r>
      <w:r>
        <w:rPr>
          <w:rFonts w:ascii="Times New Roman" w:hAnsi="Times New Roman" w:cs="Times New Roman"/>
          <w:sz w:val="28"/>
          <w:szCs w:val="28"/>
        </w:rPr>
        <w:t>актически</w:t>
      </w:r>
      <w:r>
        <w:rPr>
          <w:rFonts w:ascii="Times New Roman" w:hAnsi="Times New Roman" w:cs="Times New Roman"/>
          <w:sz w:val="28"/>
          <w:szCs w:val="28"/>
        </w:rPr>
        <w:t>е расходы</w:t>
      </w:r>
      <w:r>
        <w:rPr>
          <w:rFonts w:ascii="Times New Roman" w:hAnsi="Times New Roman" w:cs="Times New Roman"/>
          <w:sz w:val="28"/>
          <w:szCs w:val="28"/>
        </w:rPr>
        <w:t xml:space="preserve"> за 2020 год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мероприятиям, связанным с осуществлением ТП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устройств максимальной мощностью, не превышающей 15 кВт включительно, не включаемым в состав платы за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ТП,  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превышающие размер средств, рассчитанный с применением стандартизированных тарифных ставок, утвержденных Постановлением № 46/1 в размере </w:t>
      </w:r>
      <w:r>
        <w:rPr>
          <w:rFonts w:ascii="Times New Roman" w:hAnsi="Times New Roman" w:cs="Times New Roman"/>
          <w:b/>
          <w:sz w:val="28"/>
          <w:szCs w:val="28"/>
        </w:rPr>
        <w:t>1 771,57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выполнение организационно – технических мероприятий, связанных с осуществлением ТП –522,57 тыс. руб.; </w:t>
      </w:r>
    </w:p>
    <w:p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Расходы по мероприя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тиям "последней мили" и расходы на обеспечение средствами коммерческого учета электрической энергии (мощности), связанные с осуществлением ТП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устройств максимальной мощностью, не превышающей 15 кВт включительно, не включаемые в состав платы за ТП - </w:t>
      </w:r>
      <w:r>
        <w:rPr>
          <w:rFonts w:ascii="Times New Roman" w:hAnsi="Times New Roman" w:cs="Times New Roman"/>
          <w:sz w:val="28"/>
          <w:szCs w:val="28"/>
        </w:rPr>
        <w:t xml:space="preserve"> 1 249,0 тыс. руб., в том числе </w:t>
      </w:r>
      <w:r>
        <w:rPr>
          <w:rFonts w:ascii="Times New Roman" w:hAnsi="Times New Roman" w:cs="Times New Roman"/>
          <w:iCs/>
          <w:sz w:val="28"/>
          <w:szCs w:val="28"/>
        </w:rPr>
        <w:t>расходы на обеспечение средствами коммерческого учета электрической энергии (мощности) – 821,1 тыс. руб.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73B0"/>
    <w:multiLevelType w:val="hybridMultilevel"/>
    <w:tmpl w:val="203861AE"/>
    <w:lvl w:ilvl="0" w:tplc="5A88A7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14391"/>
    <w:multiLevelType w:val="multilevel"/>
    <w:tmpl w:val="B930F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2222B-7E8A-44C4-B4B8-D5908AB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2024-09-11T04:09:00Z</dcterms:created>
  <dcterms:modified xsi:type="dcterms:W3CDTF">2024-09-11T04:22:00Z</dcterms:modified>
</cp:coreProperties>
</file>