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тариф на оказание услуги по передаче электрической энергии МУП "Районные электрические сети" Хабаровского муниципального района Хабаровского края на 2024 год учтены и включены: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 2022 год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мероприятиям, связанным с осуществлением ТП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устройств максимальной мощностью, не превышающей 15 кВт включительно, не включаемым в состав платы за ТП, </w:t>
      </w:r>
      <w:r>
        <w:rPr>
          <w:rFonts w:ascii="Times New Roman" w:hAnsi="Times New Roman" w:cs="Times New Roman"/>
          <w:sz w:val="28"/>
          <w:szCs w:val="28"/>
        </w:rPr>
        <w:t>не превышающие размер средств, рассчитанный с применением стандартизированных тарифных ставок, утвержденных Постановлением</w:t>
      </w:r>
      <w:r>
        <w:rPr>
          <w:rFonts w:ascii="Times New Roman" w:hAnsi="Times New Roman" w:cs="Times New Roman"/>
          <w:sz w:val="28"/>
          <w:szCs w:val="28"/>
        </w:rPr>
        <w:br/>
        <w:t xml:space="preserve">№ 45/4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6 864,51 </w:t>
      </w:r>
      <w:r>
        <w:rPr>
          <w:rFonts w:ascii="Times New Roman" w:hAnsi="Times New Roman" w:cs="Times New Roman"/>
          <w:b/>
          <w:sz w:val="28"/>
          <w:szCs w:val="28"/>
        </w:rPr>
        <w:t xml:space="preserve">руб.,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Расходы на выполнение организационных мероприятий, связанных с осуществлением ТП – 2 286,7 тыс. руб.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Расходы по мероприятиям "последней мили", связанные с осуществлением ТП </w:t>
      </w:r>
      <w:r>
        <w:rPr>
          <w:rFonts w:ascii="Times New Roman" w:hAnsi="Times New Roman" w:cs="Times New Roman"/>
          <w:iCs/>
          <w:sz w:val="28"/>
          <w:szCs w:val="28"/>
        </w:rPr>
        <w:t xml:space="preserve">и расходы на обеспечение средствами коммерческого учета электрической энергии (мощности), связанные с осуществлением ТП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устройств максимальной мощностью, не превышающей 15 кВт включительно, не включаемые в состав платы за ТП – 5 135,56 тыс. руб.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iCs/>
          <w:sz w:val="28"/>
          <w:szCs w:val="28"/>
        </w:rPr>
        <w:t>расходы на обесп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>ечение средствами коммерческого учета электрической энергии (мощности) – 4 404,34 тыс. руб.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 вычетом </w:t>
      </w:r>
      <w:r>
        <w:rPr>
          <w:rFonts w:ascii="Times New Roman" w:hAnsi="Times New Roman" w:cs="Times New Roman"/>
          <w:sz w:val="28"/>
          <w:szCs w:val="28"/>
        </w:rPr>
        <w:t>суммарного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платы за ТП – 557,75 тыс. руб. (211 заявителей*550 рублей + 441,7 тыс. руб. (после 01.07.2022).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A73B0"/>
    <w:multiLevelType w:val="hybridMultilevel"/>
    <w:tmpl w:val="203861AE"/>
    <w:lvl w:ilvl="0" w:tplc="5A88A73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314391"/>
    <w:multiLevelType w:val="multilevel"/>
    <w:tmpl w:val="B930FA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2222B-7E8A-44C4-B4B8-D5908AB3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2024-09-11T04:09:00Z</dcterms:created>
  <dcterms:modified xsi:type="dcterms:W3CDTF">2024-09-11T04:46:00Z</dcterms:modified>
</cp:coreProperties>
</file>